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AF1" w:rsidRPr="00901A78" w:rsidRDefault="00FB4754" w:rsidP="00901A78">
      <w:pPr>
        <w:spacing w:line="240" w:lineRule="exact"/>
        <w:rPr>
          <w:rFonts w:ascii="微软雅黑" w:eastAsia="微软雅黑" w:hAnsi="微软雅黑"/>
          <w:sz w:val="20"/>
          <w:szCs w:val="20"/>
        </w:rPr>
      </w:pPr>
      <w:r w:rsidRPr="00901A78">
        <w:rPr>
          <w:rFonts w:ascii="微软雅黑" w:eastAsia="微软雅黑" w:hAnsi="微软雅黑"/>
          <w:sz w:val="20"/>
          <w:szCs w:val="20"/>
        </w:rPr>
        <w:t>​</w:t>
      </w:r>
    </w:p>
    <w:p w:rsidR="00CE2AF1" w:rsidRPr="00513762" w:rsidRDefault="00FB4754" w:rsidP="0046185A">
      <w:pPr>
        <w:spacing w:line="600" w:lineRule="exact"/>
        <w:jc w:val="center"/>
        <w:rPr>
          <w:rFonts w:ascii="微软雅黑" w:eastAsia="微软雅黑" w:hAnsi="微软雅黑"/>
          <w:sz w:val="40"/>
          <w:szCs w:val="40"/>
        </w:rPr>
      </w:pPr>
      <w:r w:rsidRPr="00513762">
        <w:rPr>
          <w:rFonts w:ascii="微软雅黑" w:eastAsia="微软雅黑" w:hAnsi="微软雅黑"/>
          <w:b/>
          <w:sz w:val="40"/>
          <w:szCs w:val="40"/>
        </w:rPr>
        <w:t>宁波市电动自行车充电安全管理规定</w:t>
      </w:r>
    </w:p>
    <w:p w:rsidR="00CE2AF1" w:rsidRPr="00901A78" w:rsidRDefault="00FB4754" w:rsidP="00901A78">
      <w:pPr>
        <w:spacing w:line="260" w:lineRule="exact"/>
        <w:rPr>
          <w:rFonts w:ascii="微软雅黑" w:eastAsia="微软雅黑" w:hAnsi="微软雅黑"/>
          <w:sz w:val="22"/>
          <w:szCs w:val="22"/>
        </w:rPr>
      </w:pPr>
      <w:r w:rsidRPr="00901A78">
        <w:rPr>
          <w:rFonts w:ascii="微软雅黑" w:eastAsia="微软雅黑" w:hAnsi="微软雅黑"/>
          <w:sz w:val="20"/>
          <w:szCs w:val="20"/>
        </w:rPr>
        <w:t>​</w:t>
      </w:r>
    </w:p>
    <w:p w:rsidR="00CE2AF1" w:rsidRPr="00901A78" w:rsidRDefault="00FB4754" w:rsidP="00901A78">
      <w:pPr>
        <w:spacing w:line="260" w:lineRule="exact"/>
        <w:ind w:leftChars="200" w:left="632" w:rightChars="200" w:right="632"/>
        <w:rPr>
          <w:rFonts w:ascii="微软雅黑" w:eastAsia="微软雅黑" w:hAnsi="微软雅黑"/>
          <w:sz w:val="22"/>
          <w:szCs w:val="22"/>
        </w:rPr>
      </w:pPr>
      <w:r w:rsidRPr="00901A78">
        <w:rPr>
          <w:rFonts w:ascii="微软雅黑" w:eastAsia="微软雅黑" w:hAnsi="微软雅黑"/>
          <w:sz w:val="22"/>
          <w:szCs w:val="22"/>
        </w:rPr>
        <w:t>（2023年8月30日宁波市第十六届人民代表大会常务委员会第十二次会议通过</w:t>
      </w:r>
      <w:r w:rsidR="00E77DD3">
        <w:rPr>
          <w:rFonts w:ascii="微软雅黑" w:eastAsia="微软雅黑" w:hAnsi="微软雅黑"/>
          <w:sz w:val="22"/>
          <w:szCs w:val="22"/>
        </w:rPr>
        <w:t>，</w:t>
      </w:r>
      <w:r w:rsidRPr="00901A78">
        <w:rPr>
          <w:rFonts w:ascii="微软雅黑" w:eastAsia="微软雅黑" w:hAnsi="微软雅黑"/>
          <w:sz w:val="22"/>
          <w:szCs w:val="22"/>
        </w:rPr>
        <w:t>2023年9月28日浙江省第十四届人民代表大会常务委员会第五次会议批准）</w:t>
      </w:r>
    </w:p>
    <w:p w:rsidR="00CE2AF1" w:rsidRPr="00901A78" w:rsidRDefault="00FB4754" w:rsidP="00901A78">
      <w:pPr>
        <w:spacing w:line="260" w:lineRule="exact"/>
        <w:rPr>
          <w:rFonts w:ascii="微软雅黑" w:eastAsia="微软雅黑" w:hAnsi="微软雅黑"/>
          <w:sz w:val="22"/>
          <w:szCs w:val="22"/>
        </w:rPr>
      </w:pPr>
      <w:r w:rsidRPr="00901A78">
        <w:rPr>
          <w:rFonts w:ascii="微软雅黑" w:eastAsia="微软雅黑" w:hAnsi="微软雅黑"/>
          <w:sz w:val="22"/>
          <w:szCs w:val="22"/>
        </w:rPr>
        <w:t>​</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第一条</w:t>
      </w:r>
      <w:r w:rsidRPr="00901A78">
        <w:rPr>
          <w:rFonts w:ascii="微软雅黑" w:eastAsia="微软雅黑" w:hAnsi="微软雅黑"/>
          <w:sz w:val="22"/>
          <w:szCs w:val="22"/>
        </w:rPr>
        <w:t xml:space="preserve">　为了加强电动自行车充电安全管理，预防和减少火灾等事故，保护人身、财产安全，维护公共安全，根据《</w:t>
      </w:r>
      <w:r w:rsidRPr="00E77DD3">
        <w:rPr>
          <w:rFonts w:ascii="微软雅黑" w:eastAsia="微软雅黑" w:hAnsi="微软雅黑"/>
          <w:b/>
          <w:sz w:val="22"/>
          <w:szCs w:val="22"/>
        </w:rPr>
        <w:t>中华人民共和国消防法</w:t>
      </w:r>
      <w:r w:rsidRPr="00901A78">
        <w:rPr>
          <w:rFonts w:ascii="微软雅黑" w:eastAsia="微软雅黑" w:hAnsi="微软雅黑"/>
          <w:sz w:val="22"/>
          <w:szCs w:val="22"/>
        </w:rPr>
        <w:t>》《</w:t>
      </w:r>
      <w:r w:rsidRPr="00E77DD3">
        <w:rPr>
          <w:rFonts w:ascii="微软雅黑" w:eastAsia="微软雅黑" w:hAnsi="微软雅黑"/>
          <w:b/>
          <w:sz w:val="22"/>
          <w:szCs w:val="22"/>
        </w:rPr>
        <w:t>浙江省消防条例</w:t>
      </w:r>
      <w:r w:rsidRPr="00901A78">
        <w:rPr>
          <w:rFonts w:ascii="微软雅黑" w:eastAsia="微软雅黑" w:hAnsi="微软雅黑"/>
          <w:sz w:val="22"/>
          <w:szCs w:val="22"/>
        </w:rPr>
        <w:t>》《</w:t>
      </w:r>
      <w:r w:rsidRPr="00E77DD3">
        <w:rPr>
          <w:rFonts w:ascii="微软雅黑" w:eastAsia="微软雅黑" w:hAnsi="微软雅黑"/>
          <w:b/>
          <w:sz w:val="22"/>
          <w:szCs w:val="22"/>
        </w:rPr>
        <w:t>浙江省电动自行车管理条例</w:t>
      </w:r>
      <w:r w:rsidRPr="00901A78">
        <w:rPr>
          <w:rFonts w:ascii="微软雅黑" w:eastAsia="微软雅黑" w:hAnsi="微软雅黑"/>
          <w:sz w:val="22"/>
          <w:szCs w:val="22"/>
        </w:rPr>
        <w:t>》等法律、法规，结合本市实际，制定本规定。</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第二条</w:t>
      </w:r>
      <w:r w:rsidRPr="00901A78">
        <w:rPr>
          <w:rFonts w:ascii="微软雅黑" w:eastAsia="微软雅黑" w:hAnsi="微软雅黑"/>
          <w:sz w:val="22"/>
          <w:szCs w:val="22"/>
        </w:rPr>
        <w:t xml:space="preserve">　电动自行车所有人、使用人应当履行电动自行车充电安全责任，确保充电安全。</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禁止下列充电行为：</w:t>
      </w:r>
    </w:p>
    <w:p w:rsidR="00CE2AF1" w:rsidRPr="00E77DD3" w:rsidRDefault="00FB4754" w:rsidP="00901A78">
      <w:pPr>
        <w:spacing w:line="260" w:lineRule="exact"/>
        <w:ind w:firstLineChars="200" w:firstLine="432"/>
        <w:rPr>
          <w:rFonts w:ascii="微软雅黑" w:eastAsia="微软雅黑" w:hAnsi="微软雅黑"/>
          <w:b/>
          <w:sz w:val="22"/>
          <w:szCs w:val="22"/>
        </w:rPr>
      </w:pPr>
      <w:r w:rsidRPr="00E77DD3">
        <w:rPr>
          <w:rFonts w:ascii="微软雅黑" w:eastAsia="微软雅黑" w:hAnsi="微软雅黑"/>
          <w:b/>
          <w:sz w:val="22"/>
          <w:szCs w:val="22"/>
        </w:rPr>
        <w:t>（一）在建筑物的楼梯间、疏散通道、安全出口等影响消防通道畅通的区域充电；</w:t>
      </w:r>
    </w:p>
    <w:p w:rsidR="00CE2AF1" w:rsidRPr="00E77DD3" w:rsidRDefault="00FB4754" w:rsidP="00901A78">
      <w:pPr>
        <w:spacing w:line="260" w:lineRule="exact"/>
        <w:ind w:firstLineChars="200" w:firstLine="432"/>
        <w:rPr>
          <w:rFonts w:ascii="微软雅黑" w:eastAsia="微软雅黑" w:hAnsi="微软雅黑"/>
          <w:b/>
          <w:sz w:val="22"/>
          <w:szCs w:val="22"/>
          <w:u w:val="dotted"/>
        </w:rPr>
      </w:pPr>
      <w:r w:rsidRPr="00E77DD3">
        <w:rPr>
          <w:rFonts w:ascii="微软雅黑" w:eastAsia="微软雅黑" w:hAnsi="微软雅黑"/>
          <w:b/>
          <w:sz w:val="22"/>
          <w:szCs w:val="22"/>
          <w:u w:val="dotted"/>
        </w:rPr>
        <w:t>（二）违反用电安全要求私拉电线和插座充电；</w:t>
      </w:r>
    </w:p>
    <w:p w:rsidR="00CE2AF1" w:rsidRPr="00E77DD3" w:rsidRDefault="00FB4754" w:rsidP="00901A78">
      <w:pPr>
        <w:spacing w:line="260" w:lineRule="exact"/>
        <w:ind w:firstLineChars="200" w:firstLine="432"/>
        <w:rPr>
          <w:rFonts w:ascii="微软雅黑" w:eastAsia="微软雅黑" w:hAnsi="微软雅黑"/>
          <w:b/>
          <w:sz w:val="22"/>
          <w:szCs w:val="22"/>
        </w:rPr>
      </w:pPr>
      <w:r w:rsidRPr="00E77DD3">
        <w:rPr>
          <w:rFonts w:ascii="微软雅黑" w:eastAsia="微软雅黑" w:hAnsi="微软雅黑"/>
          <w:b/>
          <w:sz w:val="22"/>
          <w:szCs w:val="22"/>
        </w:rPr>
        <w:t>（三）使用改装、破损等不符合安全要求的电池、充电器充电；</w:t>
      </w:r>
    </w:p>
    <w:p w:rsidR="00CE2AF1" w:rsidRPr="00E77DD3" w:rsidRDefault="00FB4754" w:rsidP="00901A78">
      <w:pPr>
        <w:spacing w:line="260" w:lineRule="exact"/>
        <w:ind w:firstLineChars="200" w:firstLine="432"/>
        <w:rPr>
          <w:rFonts w:ascii="微软雅黑" w:eastAsia="微软雅黑" w:hAnsi="微软雅黑"/>
          <w:b/>
          <w:sz w:val="22"/>
          <w:szCs w:val="22"/>
        </w:rPr>
      </w:pPr>
      <w:r w:rsidRPr="00E77DD3">
        <w:rPr>
          <w:rFonts w:ascii="微软雅黑" w:eastAsia="微软雅黑" w:hAnsi="微软雅黑"/>
          <w:b/>
          <w:sz w:val="22"/>
          <w:szCs w:val="22"/>
        </w:rPr>
        <w:t>（四）其他违反消防安全规定的充电行为。</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第三条</w:t>
      </w:r>
      <w:r w:rsidRPr="00901A78">
        <w:rPr>
          <w:rFonts w:ascii="微软雅黑" w:eastAsia="微软雅黑" w:hAnsi="微软雅黑"/>
          <w:sz w:val="22"/>
          <w:szCs w:val="22"/>
        </w:rPr>
        <w:t xml:space="preserve">　市和区（县、市）人民政府及其有关部门应当落实电动自行车安全充电相关保障措施，加大充电设施的建设投入，支持社会力量参与建设，加强宣传教育，引导公民安全充电。</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市住房和城乡建设部门应当会同市消防救援机构等部门，根据安全、便民的原则，按照国家和省有关标准，制定电动自行车充电场所建设规范，指导充电场所、设施建设。</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鼓励推广设置符合国家标准的充电柜、换电柜等充电设施。</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第四条</w:t>
      </w:r>
      <w:r w:rsidRPr="00901A78">
        <w:rPr>
          <w:rFonts w:ascii="微软雅黑" w:eastAsia="微软雅黑" w:hAnsi="微软雅黑"/>
          <w:sz w:val="22"/>
          <w:szCs w:val="22"/>
        </w:rPr>
        <w:t xml:space="preserve">　新建住宅小区以及其他建设项目在规划、建设时，应当明确并落实电动自行车相对集中充电设施的配置要求。</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已建住宅小区应当根据实际需要，结合老旧小区改造等增设相对集中的充电设施或者对现有充电设施开展安全化改造。确因客观条件无法在住宅小区内增设的，镇（乡）人民政府、街道办事处可以依法利用小区周边闲置空地等统筹设置充电设施。</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第五条</w:t>
      </w:r>
      <w:r w:rsidRPr="00901A78">
        <w:rPr>
          <w:rFonts w:ascii="微软雅黑" w:eastAsia="微软雅黑" w:hAnsi="微软雅黑"/>
          <w:sz w:val="22"/>
          <w:szCs w:val="22"/>
        </w:rPr>
        <w:t xml:space="preserve">　机关、团体、企业、事业等单位，住宅小区以外居住人员较为集中的集体宿舍、公寓等场所的管理责任人应当设置符合安全要求的充电设施。</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公共场所设置的集中充电设施，应当具备过充断开、过流保护、短路保护等功能，按照规范配备监控、报警、灭火等设备；在室内场所设置的，还应当采取防火防烟分隔措施。</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第六条</w:t>
      </w:r>
      <w:r w:rsidRPr="00901A78">
        <w:rPr>
          <w:rFonts w:ascii="微软雅黑" w:eastAsia="微软雅黑" w:hAnsi="微软雅黑"/>
          <w:sz w:val="22"/>
          <w:szCs w:val="22"/>
        </w:rPr>
        <w:t xml:space="preserve">　电动自行车租赁企业，使用电动自行车从事快递、外卖等经营活动的企业应当履行安全生产主体责任，对用于本企业业务经营的电动自行车的充电行为实施管理，做好电动自行车及其充电设施的维护、保养等安全检查工作。</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充电设施运营维护企业应当加强日常安全检查，确保运营、维护的充电设施、电池符合安全要求，其中电池还应当符合电动自行车电池出厂核定电压要求。</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鼓励电动自行车生产企业、充电设施运营维护企业投保相关责任保险。</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第七条</w:t>
      </w:r>
      <w:r w:rsidRPr="00901A78">
        <w:rPr>
          <w:rFonts w:ascii="微软雅黑" w:eastAsia="微软雅黑" w:hAnsi="微软雅黑"/>
          <w:sz w:val="22"/>
          <w:szCs w:val="22"/>
        </w:rPr>
        <w:t xml:space="preserve">　市和区（县、市）消防救援机构是本行政区域内电动自行车充电安全管理的主管部门，负责电动自行车充电安全的监督管理。</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市和区（县、市）应急管理、公安、综合行政执法等相关部门按照各自职责做好电动自行车充电安全管理和监督检查工作。</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镇（乡）人民政府、街道办事处应当落实消防安全网格化管理措施，组织开展电动自行车充电安全检查等工作。</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第八条</w:t>
      </w:r>
      <w:r w:rsidRPr="00901A78">
        <w:rPr>
          <w:rFonts w:ascii="微软雅黑" w:eastAsia="微软雅黑" w:hAnsi="微软雅黑"/>
          <w:sz w:val="22"/>
          <w:szCs w:val="22"/>
        </w:rPr>
        <w:t xml:space="preserve">　任何单位和个人有权对电动自行车违法充电行为予以劝阻、举报。</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机关、团体、企业、事业等单位，住宅小区以及住宅小区以外居住人员较为集中的集体宿舍、公寓等场所的管理责任人应当加强日常巡查，及时劝阻、制止不安全充电行为；劝阻、制止无效的，应当及时向消防救援机构、公安派出所或者镇（乡）人民政府、街道办事处报告，有关单位应当依法及时予以处理。</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消防救援机构应当会同公安、应急管理、市场监督管理、综合行政执法等部门建立数字化、全流程的信息共享和执法协作机制，加强执法检查。</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第九条</w:t>
      </w:r>
      <w:r w:rsidRPr="00901A78">
        <w:rPr>
          <w:rFonts w:ascii="微软雅黑" w:eastAsia="微软雅黑" w:hAnsi="微软雅黑"/>
          <w:sz w:val="22"/>
          <w:szCs w:val="22"/>
        </w:rPr>
        <w:t xml:space="preserve">　违反本规定的行为，法律、行政法规和省的地方性法规已有法律责任规定的，从其规定。</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电动自行车</w:t>
      </w:r>
      <w:r w:rsidRPr="00E77DD3">
        <w:rPr>
          <w:rFonts w:ascii="微软雅黑" w:eastAsia="微软雅黑" w:hAnsi="微软雅黑"/>
          <w:b/>
          <w:sz w:val="22"/>
          <w:szCs w:val="22"/>
        </w:rPr>
        <w:t>所有人</w:t>
      </w:r>
      <w:r w:rsidRPr="00901A78">
        <w:rPr>
          <w:rFonts w:ascii="微软雅黑" w:eastAsia="微软雅黑" w:hAnsi="微软雅黑"/>
          <w:sz w:val="22"/>
          <w:szCs w:val="22"/>
        </w:rPr>
        <w:t>、</w:t>
      </w:r>
      <w:r w:rsidRPr="00E77DD3">
        <w:rPr>
          <w:rFonts w:ascii="微软雅黑" w:eastAsia="微软雅黑" w:hAnsi="微软雅黑"/>
          <w:b/>
          <w:sz w:val="22"/>
          <w:szCs w:val="22"/>
        </w:rPr>
        <w:t>使用人</w:t>
      </w:r>
      <w:r w:rsidRPr="00901A78">
        <w:rPr>
          <w:rFonts w:ascii="微软雅黑" w:eastAsia="微软雅黑" w:hAnsi="微软雅黑"/>
          <w:sz w:val="22"/>
          <w:szCs w:val="22"/>
        </w:rPr>
        <w:t>违反本规定</w:t>
      </w:r>
      <w:r w:rsidRPr="00E77DD3">
        <w:rPr>
          <w:rFonts w:ascii="微软雅黑" w:eastAsia="微软雅黑" w:hAnsi="微软雅黑"/>
          <w:b/>
          <w:sz w:val="22"/>
          <w:szCs w:val="22"/>
          <w:u w:val="dotted"/>
        </w:rPr>
        <w:t>第二条第二款</w:t>
      </w:r>
      <w:r w:rsidRPr="00901A78">
        <w:rPr>
          <w:rFonts w:ascii="微软雅黑" w:eastAsia="微软雅黑" w:hAnsi="微软雅黑"/>
          <w:sz w:val="22"/>
          <w:szCs w:val="22"/>
        </w:rPr>
        <w:t>规定为电动自行车充电的，由</w:t>
      </w:r>
      <w:r w:rsidRPr="00E77DD3">
        <w:rPr>
          <w:rFonts w:ascii="微软雅黑" w:eastAsia="微软雅黑" w:hAnsi="微软雅黑"/>
          <w:b/>
          <w:sz w:val="22"/>
          <w:szCs w:val="22"/>
          <w:u w:val="dotted"/>
        </w:rPr>
        <w:t>消防救援机构</w:t>
      </w:r>
      <w:r w:rsidRPr="00901A78">
        <w:rPr>
          <w:rFonts w:ascii="微软雅黑" w:eastAsia="微软雅黑" w:hAnsi="微软雅黑"/>
          <w:sz w:val="22"/>
          <w:szCs w:val="22"/>
        </w:rPr>
        <w:t>责令改正；拒不改正的，处</w:t>
      </w:r>
      <w:r w:rsidRPr="00E77DD3">
        <w:rPr>
          <w:rFonts w:ascii="微软雅黑" w:eastAsia="微软雅黑" w:hAnsi="微软雅黑"/>
          <w:b/>
          <w:sz w:val="22"/>
          <w:szCs w:val="22"/>
          <w:u w:val="dotted"/>
        </w:rPr>
        <w:t>五十元以上二百元以下</w:t>
      </w:r>
      <w:r w:rsidRPr="00901A78">
        <w:rPr>
          <w:rFonts w:ascii="微软雅黑" w:eastAsia="微软雅黑" w:hAnsi="微软雅黑"/>
          <w:sz w:val="22"/>
          <w:szCs w:val="22"/>
        </w:rPr>
        <w:t>罚款。</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机关、团体、企业、事业等单位，住宅小区以及住宅小区以外居住人员较为集中的集体宿舍、公寓等场所的管理责任人违反本规定</w:t>
      </w:r>
      <w:r w:rsidRPr="00E77DD3">
        <w:rPr>
          <w:rFonts w:ascii="微软雅黑" w:eastAsia="微软雅黑" w:hAnsi="微软雅黑"/>
          <w:b/>
          <w:sz w:val="22"/>
          <w:szCs w:val="22"/>
          <w:u w:val="dotted"/>
        </w:rPr>
        <w:t>第八条第二款</w:t>
      </w:r>
      <w:r w:rsidRPr="00901A78">
        <w:rPr>
          <w:rFonts w:ascii="微软雅黑" w:eastAsia="微软雅黑" w:hAnsi="微软雅黑"/>
          <w:sz w:val="22"/>
          <w:szCs w:val="22"/>
        </w:rPr>
        <w:t>规定，未劝阻和制止不安全充电行为，或者未及时履行报告义务的，由消防救援机构责令改正，可以处</w:t>
      </w:r>
      <w:r w:rsidRPr="00E77DD3">
        <w:rPr>
          <w:rFonts w:ascii="微软雅黑" w:eastAsia="微软雅黑" w:hAnsi="微软雅黑"/>
          <w:b/>
          <w:sz w:val="22"/>
          <w:szCs w:val="22"/>
          <w:u w:val="dotted"/>
        </w:rPr>
        <w:t>五百元以上二千元以下</w:t>
      </w:r>
      <w:r w:rsidRPr="00901A78">
        <w:rPr>
          <w:rFonts w:ascii="微软雅黑" w:eastAsia="微软雅黑" w:hAnsi="微软雅黑"/>
          <w:sz w:val="22"/>
          <w:szCs w:val="22"/>
        </w:rPr>
        <w:t>罚款。</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sz w:val="22"/>
          <w:szCs w:val="22"/>
        </w:rPr>
        <w:t>依法承接电动自行车充电安全违法行为行政处罚权的</w:t>
      </w:r>
      <w:r w:rsidRPr="00E77DD3">
        <w:rPr>
          <w:rFonts w:ascii="微软雅黑" w:eastAsia="微软雅黑" w:hAnsi="微软雅黑"/>
          <w:b/>
          <w:sz w:val="22"/>
          <w:szCs w:val="22"/>
          <w:u w:val="dotted"/>
        </w:rPr>
        <w:t>镇（乡）人民政府</w:t>
      </w:r>
      <w:r w:rsidRPr="00901A78">
        <w:rPr>
          <w:rFonts w:ascii="微软雅黑" w:eastAsia="微软雅黑" w:hAnsi="微软雅黑"/>
          <w:sz w:val="22"/>
          <w:szCs w:val="22"/>
        </w:rPr>
        <w:t>、</w:t>
      </w:r>
      <w:r w:rsidRPr="00E77DD3">
        <w:rPr>
          <w:rFonts w:ascii="微软雅黑" w:eastAsia="微软雅黑" w:hAnsi="微软雅黑"/>
          <w:b/>
          <w:sz w:val="22"/>
          <w:szCs w:val="22"/>
          <w:u w:val="dotted"/>
        </w:rPr>
        <w:t>街道办事处</w:t>
      </w:r>
      <w:r w:rsidRPr="00901A78">
        <w:rPr>
          <w:rFonts w:ascii="微软雅黑" w:eastAsia="微软雅黑" w:hAnsi="微软雅黑"/>
          <w:sz w:val="22"/>
          <w:szCs w:val="22"/>
        </w:rPr>
        <w:t>，应当依法实施行政处罚。</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第十条</w:t>
      </w:r>
      <w:r w:rsidRPr="00901A78">
        <w:rPr>
          <w:rFonts w:ascii="微软雅黑" w:eastAsia="微软雅黑" w:hAnsi="微软雅黑"/>
          <w:sz w:val="22"/>
          <w:szCs w:val="22"/>
        </w:rPr>
        <w:t xml:space="preserve">　</w:t>
      </w:r>
      <w:r w:rsidRPr="00E77DD3">
        <w:rPr>
          <w:rFonts w:ascii="微软雅黑" w:eastAsia="微软雅黑" w:hAnsi="微软雅黑"/>
          <w:b/>
          <w:sz w:val="22"/>
          <w:szCs w:val="22"/>
          <w:u w:val="dotted"/>
        </w:rPr>
        <w:t>电动三轮车</w:t>
      </w:r>
      <w:r w:rsidRPr="00901A78">
        <w:rPr>
          <w:rFonts w:ascii="微软雅黑" w:eastAsia="微软雅黑" w:hAnsi="微软雅黑"/>
          <w:sz w:val="22"/>
          <w:szCs w:val="22"/>
        </w:rPr>
        <w:t>、</w:t>
      </w:r>
      <w:r w:rsidRPr="00E77DD3">
        <w:rPr>
          <w:rFonts w:ascii="微软雅黑" w:eastAsia="微软雅黑" w:hAnsi="微软雅黑"/>
          <w:b/>
          <w:sz w:val="22"/>
          <w:szCs w:val="22"/>
          <w:u w:val="dotted"/>
        </w:rPr>
        <w:t>电动摩托车</w:t>
      </w:r>
      <w:r w:rsidRPr="00901A78">
        <w:rPr>
          <w:rFonts w:ascii="微软雅黑" w:eastAsia="微软雅黑" w:hAnsi="微软雅黑"/>
          <w:sz w:val="22"/>
          <w:szCs w:val="22"/>
        </w:rPr>
        <w:t>的充电行为及其监督管理，依照本规定执行。</w:t>
      </w:r>
    </w:p>
    <w:p w:rsidR="00CE2AF1" w:rsidRPr="00901A78" w:rsidRDefault="00FB4754" w:rsidP="00901A78">
      <w:pPr>
        <w:spacing w:line="260" w:lineRule="exact"/>
        <w:ind w:firstLineChars="200" w:firstLine="432"/>
        <w:rPr>
          <w:rFonts w:ascii="微软雅黑" w:eastAsia="微软雅黑" w:hAnsi="微软雅黑"/>
          <w:sz w:val="22"/>
          <w:szCs w:val="22"/>
        </w:rPr>
      </w:pPr>
      <w:r w:rsidRPr="00901A78">
        <w:rPr>
          <w:rFonts w:ascii="微软雅黑" w:eastAsia="微软雅黑" w:hAnsi="微软雅黑"/>
          <w:b/>
          <w:sz w:val="22"/>
          <w:szCs w:val="22"/>
        </w:rPr>
        <w:t>第十一条</w:t>
      </w:r>
      <w:r w:rsidRPr="00901A78">
        <w:rPr>
          <w:rFonts w:ascii="微软雅黑" w:eastAsia="微软雅黑" w:hAnsi="微软雅黑"/>
          <w:sz w:val="22"/>
          <w:szCs w:val="22"/>
        </w:rPr>
        <w:t xml:space="preserve">　本规定</w:t>
      </w:r>
      <w:bookmarkStart w:id="0" w:name="_GoBack"/>
      <w:bookmarkEnd w:id="0"/>
      <w:r w:rsidRPr="00901A78">
        <w:rPr>
          <w:rFonts w:ascii="微软雅黑" w:eastAsia="微软雅黑" w:hAnsi="微软雅黑"/>
          <w:sz w:val="22"/>
          <w:szCs w:val="22"/>
        </w:rPr>
        <w:t>自</w:t>
      </w:r>
      <w:r w:rsidRPr="00E77DD3">
        <w:rPr>
          <w:rFonts w:ascii="微软雅黑" w:eastAsia="微软雅黑" w:hAnsi="微软雅黑"/>
          <w:b/>
          <w:sz w:val="22"/>
          <w:szCs w:val="22"/>
          <w:u w:val="dotted"/>
        </w:rPr>
        <w:t>2024年1月1日</w:t>
      </w:r>
      <w:r w:rsidRPr="00901A78">
        <w:rPr>
          <w:rFonts w:ascii="微软雅黑" w:eastAsia="微软雅黑" w:hAnsi="微软雅黑"/>
          <w:sz w:val="22"/>
          <w:szCs w:val="22"/>
        </w:rPr>
        <w:t>起施行。</w:t>
      </w:r>
    </w:p>
    <w:sectPr w:rsidR="00CE2AF1" w:rsidRPr="00901A78" w:rsidSect="00901A78">
      <w:footerReference w:type="even" r:id="rId6"/>
      <w:footerReference w:type="default" r:id="rId7"/>
      <w:pgSz w:w="11906" w:h="16838"/>
      <w:pgMar w:top="720" w:right="720" w:bottom="720" w:left="720" w:header="567" w:footer="567"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28E4" w:rsidRDefault="008428E4" w:rsidP="00CE2AF1">
      <w:r>
        <w:separator/>
      </w:r>
    </w:p>
  </w:endnote>
  <w:endnote w:type="continuationSeparator" w:id="0">
    <w:p w:rsidR="008428E4" w:rsidRDefault="008428E4" w:rsidP="00CE2A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AF1" w:rsidRDefault="00FB4754">
    <w:pPr>
      <w:pStyle w:val="a3"/>
      <w:rPr>
        <w:sz w:val="28"/>
        <w:szCs w:val="28"/>
      </w:rPr>
    </w:pPr>
    <w:r>
      <w:rPr>
        <w:rFonts w:ascii="宋体" w:hAnsi="宋体" w:hint="eastAsia"/>
        <w:sz w:val="28"/>
        <w:szCs w:val="28"/>
      </w:rPr>
      <w:t xml:space="preserve">　－</w:t>
    </w:r>
    <w:r w:rsidR="00EE7C3B">
      <w:rPr>
        <w:sz w:val="28"/>
        <w:szCs w:val="28"/>
      </w:rPr>
      <w:fldChar w:fldCharType="begin"/>
    </w:r>
    <w:r>
      <w:rPr>
        <w:rFonts w:ascii="宋体" w:hAnsi="宋体"/>
        <w:sz w:val="28"/>
        <w:szCs w:val="28"/>
      </w:rPr>
      <w:instrText>PAGE   \* MERGEFORMAT</w:instrText>
    </w:r>
    <w:r w:rsidR="00EE7C3B">
      <w:rPr>
        <w:sz w:val="28"/>
        <w:szCs w:val="28"/>
      </w:rPr>
      <w:fldChar w:fldCharType="separate"/>
    </w:r>
    <w:r w:rsidR="00901A78" w:rsidRPr="00901A78">
      <w:rPr>
        <w:noProof/>
        <w:sz w:val="28"/>
        <w:szCs w:val="28"/>
        <w:lang w:val="zh-CN"/>
      </w:rPr>
      <w:t>2</w:t>
    </w:r>
    <w:r w:rsidR="00EE7C3B">
      <w:rPr>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AF1" w:rsidRDefault="00FB4754" w:rsidP="00901A78">
    <w:pPr>
      <w:pStyle w:val="a3"/>
      <w:wordWrap w:val="0"/>
      <w:spacing w:line="240" w:lineRule="exact"/>
      <w:jc w:val="right"/>
    </w:pPr>
    <w:r>
      <w:rPr>
        <w:rFonts w:ascii="宋体" w:hAnsi="宋体" w:hint="eastAsia"/>
        <w:sz w:val="28"/>
        <w:szCs w:val="28"/>
      </w:rPr>
      <w:t>－</w:t>
    </w:r>
    <w:r w:rsidR="00EE7C3B">
      <w:rPr>
        <w:sz w:val="28"/>
        <w:szCs w:val="28"/>
      </w:rPr>
      <w:fldChar w:fldCharType="begin"/>
    </w:r>
    <w:r>
      <w:rPr>
        <w:rFonts w:ascii="宋体" w:hAnsi="宋体"/>
        <w:sz w:val="28"/>
        <w:szCs w:val="28"/>
      </w:rPr>
      <w:instrText>PAGE   \* MERGEFORMAT</w:instrText>
    </w:r>
    <w:r w:rsidR="00EE7C3B">
      <w:rPr>
        <w:sz w:val="28"/>
        <w:szCs w:val="28"/>
      </w:rPr>
      <w:fldChar w:fldCharType="separate"/>
    </w:r>
    <w:r w:rsidR="00513762" w:rsidRPr="00513762">
      <w:rPr>
        <w:noProof/>
        <w:sz w:val="28"/>
        <w:szCs w:val="28"/>
        <w:lang w:val="zh-CN"/>
      </w:rPr>
      <w:t>1</w:t>
    </w:r>
    <w:r w:rsidR="00EE7C3B">
      <w:rPr>
        <w:sz w:val="28"/>
        <w:szCs w:val="28"/>
      </w:rPr>
      <w:fldChar w:fldCharType="end"/>
    </w:r>
    <w:r>
      <w:rPr>
        <w:rFonts w:ascii="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28E4" w:rsidRDefault="008428E4" w:rsidP="00CE2AF1">
      <w:r>
        <w:separator/>
      </w:r>
    </w:p>
  </w:footnote>
  <w:footnote w:type="continuationSeparator" w:id="0">
    <w:p w:rsidR="008428E4" w:rsidRDefault="008428E4" w:rsidP="00CE2A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NjYxMzQyM2ZjZmQxZmViNWE5ZWY0YWMwZGE0ZmQxNTQ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56362"/>
    <w:rsid w:val="003A0332"/>
    <w:rsid w:val="003F636B"/>
    <w:rsid w:val="00420DB2"/>
    <w:rsid w:val="0044207F"/>
    <w:rsid w:val="0046185A"/>
    <w:rsid w:val="0048283C"/>
    <w:rsid w:val="004D5710"/>
    <w:rsid w:val="004F542C"/>
    <w:rsid w:val="00513762"/>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7E3DAD"/>
    <w:rsid w:val="0082159D"/>
    <w:rsid w:val="00834B22"/>
    <w:rsid w:val="008351B6"/>
    <w:rsid w:val="008428E4"/>
    <w:rsid w:val="008503CF"/>
    <w:rsid w:val="00867A37"/>
    <w:rsid w:val="008A10A6"/>
    <w:rsid w:val="008D32FC"/>
    <w:rsid w:val="00901A78"/>
    <w:rsid w:val="00937399"/>
    <w:rsid w:val="009D4E62"/>
    <w:rsid w:val="00A07177"/>
    <w:rsid w:val="00A36F2A"/>
    <w:rsid w:val="00A87604"/>
    <w:rsid w:val="00AE1A10"/>
    <w:rsid w:val="00AE3FEB"/>
    <w:rsid w:val="00B12059"/>
    <w:rsid w:val="00B32293"/>
    <w:rsid w:val="00B718F5"/>
    <w:rsid w:val="00B90B92"/>
    <w:rsid w:val="00BB0938"/>
    <w:rsid w:val="00BB259A"/>
    <w:rsid w:val="00BC1DEF"/>
    <w:rsid w:val="00BC4088"/>
    <w:rsid w:val="00BF513D"/>
    <w:rsid w:val="00C16EFC"/>
    <w:rsid w:val="00C97FAE"/>
    <w:rsid w:val="00CC1CE5"/>
    <w:rsid w:val="00CC393A"/>
    <w:rsid w:val="00CE2AF1"/>
    <w:rsid w:val="00D0095F"/>
    <w:rsid w:val="00D50578"/>
    <w:rsid w:val="00D625F1"/>
    <w:rsid w:val="00D64B65"/>
    <w:rsid w:val="00D677FE"/>
    <w:rsid w:val="00DB69C0"/>
    <w:rsid w:val="00DB7DE9"/>
    <w:rsid w:val="00DC4D4C"/>
    <w:rsid w:val="00DD7D16"/>
    <w:rsid w:val="00E75BED"/>
    <w:rsid w:val="00E77DD3"/>
    <w:rsid w:val="00EA2922"/>
    <w:rsid w:val="00ED7C16"/>
    <w:rsid w:val="00EE2B0F"/>
    <w:rsid w:val="00EE52D1"/>
    <w:rsid w:val="00EE7C3B"/>
    <w:rsid w:val="00F352BC"/>
    <w:rsid w:val="00F3612D"/>
    <w:rsid w:val="00F4604E"/>
    <w:rsid w:val="00F53731"/>
    <w:rsid w:val="00F53EFE"/>
    <w:rsid w:val="00F72984"/>
    <w:rsid w:val="00F7674E"/>
    <w:rsid w:val="00F97604"/>
    <w:rsid w:val="00FA7EE2"/>
    <w:rsid w:val="00FB4754"/>
    <w:rsid w:val="00FD0030"/>
    <w:rsid w:val="05EE09DC"/>
    <w:rsid w:val="0D9804AC"/>
    <w:rsid w:val="11E4354D"/>
    <w:rsid w:val="16DC7373"/>
    <w:rsid w:val="344634A2"/>
    <w:rsid w:val="3DE63740"/>
    <w:rsid w:val="481351D2"/>
    <w:rsid w:val="53543565"/>
    <w:rsid w:val="558A062C"/>
    <w:rsid w:val="622F12CF"/>
    <w:rsid w:val="653E08AD"/>
    <w:rsid w:val="71B9247E"/>
    <w:rsid w:val="73D44F6F"/>
    <w:rsid w:val="7F47D4F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2AF1"/>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CE2AF1"/>
    <w:pPr>
      <w:tabs>
        <w:tab w:val="center" w:pos="4153"/>
        <w:tab w:val="right" w:pos="8306"/>
      </w:tabs>
      <w:snapToGrid w:val="0"/>
      <w:jc w:val="left"/>
    </w:pPr>
    <w:rPr>
      <w:rFonts w:ascii="Calibri" w:eastAsia="宋体" w:hAnsi="Calibri"/>
      <w:kern w:val="0"/>
      <w:sz w:val="18"/>
      <w:szCs w:val="18"/>
      <w:lang/>
    </w:rPr>
  </w:style>
  <w:style w:type="paragraph" w:styleId="a4">
    <w:name w:val="header"/>
    <w:basedOn w:val="a"/>
    <w:link w:val="Char0"/>
    <w:uiPriority w:val="99"/>
    <w:unhideWhenUsed/>
    <w:qFormat/>
    <w:rsid w:val="00CE2AF1"/>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5">
    <w:name w:val="FollowedHyperlink"/>
    <w:uiPriority w:val="99"/>
    <w:unhideWhenUsed/>
    <w:qFormat/>
    <w:rsid w:val="00CE2AF1"/>
    <w:rPr>
      <w:color w:val="954F72"/>
      <w:u w:val="single"/>
    </w:rPr>
  </w:style>
  <w:style w:type="character" w:styleId="a6">
    <w:name w:val="Hyperlink"/>
    <w:uiPriority w:val="99"/>
    <w:qFormat/>
    <w:rsid w:val="00CE2AF1"/>
    <w:rPr>
      <w:rFonts w:ascii="ˎ̥" w:hAnsi="ˎ̥" w:hint="default"/>
      <w:color w:val="0404B3"/>
      <w:sz w:val="18"/>
      <w:szCs w:val="18"/>
      <w:u w:val="none"/>
    </w:rPr>
  </w:style>
  <w:style w:type="character" w:customStyle="1" w:styleId="Char">
    <w:name w:val="页脚 Char"/>
    <w:link w:val="a3"/>
    <w:uiPriority w:val="99"/>
    <w:qFormat/>
    <w:rsid w:val="00CE2AF1"/>
    <w:rPr>
      <w:sz w:val="18"/>
      <w:szCs w:val="18"/>
    </w:rPr>
  </w:style>
  <w:style w:type="character" w:customStyle="1" w:styleId="Char0">
    <w:name w:val="页眉 Char"/>
    <w:link w:val="a4"/>
    <w:uiPriority w:val="99"/>
    <w:qFormat/>
    <w:rsid w:val="00CE2AF1"/>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268</Words>
  <Characters>1533</Characters>
  <Application>Microsoft Office Word</Application>
  <DocSecurity>0</DocSecurity>
  <Lines>12</Lines>
  <Paragraphs>3</Paragraphs>
  <ScaleCrop>false</ScaleCrop>
  <Company>Newdaxie</Company>
  <LinksUpToDate>false</LinksUpToDate>
  <CharactersWithSpaces>1798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20</cp:revision>
  <dcterms:created xsi:type="dcterms:W3CDTF">2017-11-15T10:33:00Z</dcterms:created>
  <dcterms:modified xsi:type="dcterms:W3CDTF">2025-07-18T00:47:00Z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2052-12.1.0.15374</vt:lpwstr>
  </property>
</Properties>
</file>